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“</w:t>
      </w:r>
      <w:r>
        <w:rPr>
          <w:rtl w:val="0"/>
        </w:rPr>
        <w:t>My Name Is</w:t>
      </w:r>
      <w:r>
        <w:rPr>
          <w:rtl w:val="0"/>
        </w:rPr>
        <w:t>”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Watch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"https://virginia.box.com/s/dyyjbcdgtcwwag42hd92o5l0eygqe15w"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“</w:t>
      </w:r>
      <w:r>
        <w:rPr>
          <w:rStyle w:val="Hyperlink.0"/>
          <w:rtl w:val="0"/>
        </w:rPr>
        <w:t>My Name Is</w:t>
      </w:r>
      <w:r>
        <w:rPr>
          <w:rStyle w:val="Hyperlink.0"/>
          <w:rtl w:val="0"/>
        </w:rPr>
        <w:t>”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Written by Michelle A. Banks</w:t>
      </w:r>
    </w:p>
    <w:p>
      <w:pPr>
        <w:pStyle w:val="Body"/>
        <w:bidi w:val="0"/>
      </w:pPr>
      <w:r>
        <w:rPr>
          <w:rtl w:val="0"/>
        </w:rPr>
        <w:t>Performed by Alexandria Wailes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Reflect</w:t>
      </w:r>
    </w:p>
    <w:p>
      <w:pPr>
        <w:pStyle w:val="Body"/>
        <w:bidi w:val="0"/>
      </w:pPr>
      <w:r>
        <w:rPr>
          <w:rtl w:val="0"/>
        </w:rPr>
        <w:t>To support your reflections, consider writing or drawing your responses, or talking to a trusted colleague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How has UVA played a role in helping this character name her identity? Why has that been significant?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How has this character found belonging at UVA? What supported that?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</w:t>
      </w:r>
      <w:r>
        <w:rPr>
          <w:rtl w:val="0"/>
        </w:rPr>
        <w:t> </w:t>
      </w:r>
      <w:r>
        <w:rPr>
          <w:rtl w:val="0"/>
        </w:rPr>
        <w:t>does "full accessibility" mean to this character, and why is it important for them? How can isolated accessibility mistakes impact a student? What might that mean if accessibility needs are consistently derided or disregarded?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Learn</w:t>
      </w:r>
    </w:p>
    <w:p>
      <w:pPr>
        <w:pStyle w:val="Body"/>
        <w:bidi w:val="0"/>
      </w:pPr>
      <w:r>
        <w:rPr>
          <w:rtl w:val="0"/>
        </w:rPr>
        <w:t>Explore the resources below as a starting point for further learning.</w:t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"https://drive.google.com/file/d/10VHM7FvC9ymmMGNDwrjPseQlDPOmqv8c/view?usp=sharing"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Stepleton, L.(2016). Audism and racism: the hidden curriculum impacting black d/Deaf college students in the classroom. The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Negro Educational Review, Vol. 16(1-4), 149-168.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"https://drive.google.com/file/d/16BevOX23-Gz-GrocKCT-Z64LPIm3XjGH/view?usp=sharing"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Braun, D. et al. (2018). Welcoming Deaf students into STEM: Recommendations for university science education. CBE Life Sciences Education, Vol. 17(3).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"https://v4.lib.virginia.edu/sources/books/items/u7635384"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Evans, N., et al. (2017). Disability in higher education : a social justice approach.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John Wiley &amp; Sons, Inc.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Act</w:t>
      </w:r>
    </w:p>
    <w:p>
      <w:pPr>
        <w:pStyle w:val="Body"/>
        <w:bidi w:val="0"/>
      </w:pPr>
      <w:r>
        <w:rPr>
          <w:rtl w:val="0"/>
        </w:rPr>
        <w:t>You've reflected. You've learned. Now it's time to take action.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Integrate principles of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"https://provost.virginia.edu/subsite/coaa/instructional-resources/udl"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Universal Design for Learning</w:t>
      </w:r>
      <w:r>
        <w:rPr/>
        <w:fldChar w:fldCharType="end" w:fldLock="0"/>
      </w:r>
      <w:r>
        <w:rPr>
          <w:rtl w:val="0"/>
        </w:rPr>
        <w:t xml:space="preserve"> into your courses.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Make changes in your language and behavior to reflect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"https://provost.virginia.edu/subsite/coaa/disability-etiquette"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disability etiquette</w:t>
      </w:r>
      <w:r>
        <w:rPr/>
        <w:fldChar w:fldCharType="end" w:fldLock="0"/>
      </w:r>
      <w:r>
        <w:rPr>
          <w:rtl w:val="0"/>
        </w:rPr>
        <w:t xml:space="preserve"> in your interactions.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When budgeting for events, course needs, lab materials, software upgrades, etc., include the financial resources needed to make learning fully accessible to all students and faculty.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